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02.05.2019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1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Рожко Артем Миколайович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 та ініціали керівника)</w:t>
            </w:r>
          </w:p>
        </w:tc>
      </w:tr>
    </w:tbl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"Прилуцький 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"я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сокомбінат"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17500 місто Прилуки, вулиця Дружби Народів, будинок 34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32275840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0463771416, 0463771416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sigma@tim.u</w:t>
      </w:r>
      <w:r>
        <w:rPr>
          <w:rFonts w:ascii="Times New Roman CYR" w:hAnsi="Times New Roman CYR" w:cs="Times New Roman CYR"/>
          <w:sz w:val="24"/>
          <w:szCs w:val="24"/>
        </w:rPr>
        <w:t>a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Найменування, ідентифікаційний код юридичної особи, країна реєстрації юридичної особи та номер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</w:t>
      </w:r>
      <w:r>
        <w:rPr>
          <w:rFonts w:ascii="Times New Roman CYR" w:hAnsi="Times New Roman CYR" w:cs="Times New Roman CYR"/>
          <w:sz w:val="24"/>
          <w:szCs w:val="24"/>
        </w:rPr>
        <w:t>мації від імені учасника фондового ринку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Державна установа "Агентство з розвитку інфраструктури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України", 21676262, 804, DR/00001/APA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 про дату та місце оприлюднення Повідомлення (Повідомлення про інформацію) 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2200"/>
        <w:gridCol w:w="33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ено на власному веб-сайті учасника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5B314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5B3140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http://32275840.wix.com/prilmeat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02.05.2019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(адреса сторінки)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1400" w:header="720" w:footer="720" w:gutter="0"/>
          <w:cols w:space="720"/>
          <w:noEndnote/>
        </w:sectPr>
      </w:pP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Відомості про прийняття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 про попереднє надання згоди на вчинення значних правочинів</w:t>
      </w:r>
    </w:p>
    <w:p w:rsidR="00000000" w:rsidRDefault="0097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прийняття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Вартість активів емітента за даними останньої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ідношення граничної сукупної вартості правочинів до вартості активів емітента за даними останньої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річної фінансової звітності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29.04.2019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12 785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1 173,25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Загальними Зборами акцiонерiв ПрАТ "Прилуцький м'ясокомбiнат""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протокол № 24 вiд 29.04.2019 р.) було прийнято рiшення попередньо надати згоду на вчинення Товариством в ходi поточної господарської дiяльностi протягом одного року з дня проведення цих Загал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ьних зборiв Товариства значних правочинiв, у тому числi, але не виключно правочинiв, пов'язаних з укладенням та/або пролонгацiєю кредитних договорiв та/або внесенням змiн до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умов кредитних договорiв, укладених Товариством, депозитних договорiв, договорiв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 надання фiнансових та майнових порук, договорiв застави/iпотеки, договорiв позики, в тому числi спiвробiтникам Товариства, поставки, укладення договорiв придбання та вiдчуження обладнання, договорiв придбання та вiдчуження будь-якого рухомого та нерухом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 майна Товариства, укладення договорiв придбання/продажу сировини, матерiалiв, товарiв, робiт, послуг тощо, правочинiв пов'язаних з укладенням мирових угод, будь-яких iнших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господарських договорiв, за якими Товариство виступає чи буде виступати будь-яко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 iз сторiн граничною сукупною вартiстю 150 000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рн. При цьому вчинення такого (таких) правочину (правочин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в) є чинним незалежно вiд збiльшення у майбутньому ринкової вартостi майна Товариства, збiльшення/зменшення вартостi активiв Товариства за даним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останньої рiчної фiнансової звiтностi, а також можливих коливань курсу гривнi до iноземних валют. Вартiсть активiв емiтента за даними останньої рiчної фiнансової звiтностi: 12785,00 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рн. Сп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ввiдношення граничної сукупностi вартостi правочинiв до вар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тостi активiв емiтента за даними останньої рiчної фiнансової звiтностi (у вiдсотках) - 1173,25.</w:t>
            </w:r>
          </w:p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акцiй: 3686854 (три мiльйона шiстсот вiсiмдесят шiсть тисяч вiсiмсот п'ятдесят чотири) голосiв.</w:t>
            </w:r>
          </w:p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зареєстрованi для участi у загальних зборах: 3686854 (три мiльйона шiстсот вiсiмдесят шiсть тисяч вiсiмсот п'ятдесят чотири) голосiв.</w:t>
            </w:r>
          </w:p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лькiсть голосуючих акцiй, що проголосували "за" прийняття рiшення: 3686854 (три мiльйона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 вiсiмдесят шiсть тисяч вiсiмсот п'ятдесят чотири) голосiв.</w:t>
            </w:r>
          </w:p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 голосуючих акцiй, що проголосували "проти" прийняття рiшення: 0 (нуль) голосiв.</w:t>
            </w:r>
          </w:p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97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9743FE" w:rsidRDefault="00974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9743FE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3140"/>
    <w:rsid w:val="005B3140"/>
    <w:rsid w:val="0097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2019-10-09T10:14:00Z</dcterms:created>
  <dcterms:modified xsi:type="dcterms:W3CDTF">2019-10-09T10:14:00Z</dcterms:modified>
</cp:coreProperties>
</file>